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10" w:rsidRDefault="004602E5" w:rsidP="004602E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602E5">
        <w:rPr>
          <w:rFonts w:asciiTheme="majorEastAsia" w:eastAsiaTheme="majorEastAsia" w:hAnsiTheme="majorEastAsia" w:hint="eastAsia"/>
          <w:b/>
          <w:sz w:val="32"/>
          <w:szCs w:val="32"/>
        </w:rPr>
        <w:t>爱沙尼亚塔尔图大学项目</w:t>
      </w:r>
    </w:p>
    <w:tbl>
      <w:tblPr>
        <w:tblStyle w:val="a6"/>
        <w:tblW w:w="9169" w:type="dxa"/>
        <w:jc w:val="center"/>
        <w:tblLook w:val="04A0" w:firstRow="1" w:lastRow="0" w:firstColumn="1" w:lastColumn="0" w:noHBand="0" w:noVBand="1"/>
      </w:tblPr>
      <w:tblGrid>
        <w:gridCol w:w="1231"/>
        <w:gridCol w:w="7938"/>
      </w:tblGrid>
      <w:tr w:rsidR="004602E5" w:rsidRPr="00574527" w:rsidTr="00B62F59">
        <w:trPr>
          <w:jc w:val="center"/>
        </w:trPr>
        <w:tc>
          <w:tcPr>
            <w:tcW w:w="1231" w:type="dxa"/>
          </w:tcPr>
          <w:p w:rsidR="004602E5" w:rsidRPr="00574527" w:rsidRDefault="004602E5" w:rsidP="00B62F59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hint="eastAsia"/>
                <w:szCs w:val="21"/>
              </w:rPr>
              <w:t>院校名称</w:t>
            </w:r>
          </w:p>
        </w:tc>
        <w:tc>
          <w:tcPr>
            <w:tcW w:w="7938" w:type="dxa"/>
          </w:tcPr>
          <w:p w:rsidR="004602E5" w:rsidRPr="000E571C" w:rsidRDefault="004602E5" w:rsidP="00B62F59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E571C">
              <w:rPr>
                <w:rFonts w:asciiTheme="majorEastAsia" w:eastAsiaTheme="majorEastAsia" w:hAnsiTheme="majorEastAsia" w:hint="eastAsia"/>
                <w:b/>
                <w:szCs w:val="21"/>
              </w:rPr>
              <w:t>爱沙尼亚塔尔图大学</w:t>
            </w:r>
          </w:p>
        </w:tc>
      </w:tr>
      <w:tr w:rsidR="004602E5" w:rsidRPr="00574527" w:rsidTr="00B62F59">
        <w:trPr>
          <w:jc w:val="center"/>
        </w:trPr>
        <w:tc>
          <w:tcPr>
            <w:tcW w:w="1231" w:type="dxa"/>
          </w:tcPr>
          <w:p w:rsidR="004602E5" w:rsidRDefault="004602E5" w:rsidP="00B62F59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602E5" w:rsidRDefault="004602E5" w:rsidP="00B62F59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602E5" w:rsidRDefault="004602E5" w:rsidP="00B62F59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602E5" w:rsidRPr="00574527" w:rsidRDefault="004602E5" w:rsidP="00B62F59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hint="eastAsia"/>
                <w:szCs w:val="21"/>
              </w:rPr>
              <w:t>院校介绍</w:t>
            </w:r>
          </w:p>
        </w:tc>
        <w:tc>
          <w:tcPr>
            <w:tcW w:w="7938" w:type="dxa"/>
          </w:tcPr>
          <w:p w:rsidR="004602E5" w:rsidRPr="00574527" w:rsidRDefault="004602E5" w:rsidP="00B62F59">
            <w:pPr>
              <w:widowControl/>
              <w:shd w:val="clear" w:color="auto" w:fill="FFFFFF"/>
              <w:spacing w:line="360" w:lineRule="auto"/>
              <w:jc w:val="left"/>
              <w:rPr>
                <w:rFonts w:asciiTheme="majorEastAsia" w:eastAsiaTheme="majorEastAsia" w:hAnsiTheme="majorEastAsia" w:cs="宋体"/>
                <w:spacing w:val="8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8"/>
                <w:kern w:val="0"/>
                <w:szCs w:val="21"/>
              </w:rPr>
              <w:t xml:space="preserve">    </w:t>
            </w:r>
            <w:r w:rsidRPr="00F2616A">
              <w:rPr>
                <w:rFonts w:asciiTheme="majorEastAsia" w:eastAsiaTheme="majorEastAsia" w:hAnsiTheme="majorEastAsia" w:cs="宋体"/>
                <w:spacing w:val="8"/>
                <w:kern w:val="0"/>
                <w:szCs w:val="21"/>
              </w:rPr>
              <w:t>爱沙尼亚塔尔图大学是爱沙尼亚最大，最古老的国立大学，并在北欧及整个欧洲都享有很高的声誉和地位。 该校也是最为历史悠久，享有盛誉的欧洲大学所组成的联盟成员</w:t>
            </w:r>
            <w:r w:rsidRPr="00574527">
              <w:rPr>
                <w:rFonts w:asciiTheme="majorEastAsia" w:eastAsiaTheme="majorEastAsia" w:hAnsiTheme="majorEastAsia" w:cs="宋体" w:hint="eastAsia"/>
                <w:spacing w:val="8"/>
                <w:kern w:val="0"/>
                <w:szCs w:val="21"/>
              </w:rPr>
              <w:t>，</w:t>
            </w:r>
            <w:r w:rsidRPr="00F2616A">
              <w:rPr>
                <w:rFonts w:asciiTheme="majorEastAsia" w:eastAsiaTheme="majorEastAsia" w:hAnsiTheme="majorEastAsia" w:cs="宋体"/>
                <w:spacing w:val="8"/>
                <w:kern w:val="0"/>
                <w:szCs w:val="21"/>
              </w:rPr>
              <w:t>其中声名显赫的牛津，剑桥都是其成员</w:t>
            </w:r>
            <w:r w:rsidRPr="00574527">
              <w:rPr>
                <w:rFonts w:asciiTheme="majorEastAsia" w:eastAsiaTheme="majorEastAsia" w:hAnsiTheme="majorEastAsia" w:cs="宋体" w:hint="eastAsia"/>
                <w:spacing w:val="8"/>
                <w:kern w:val="0"/>
                <w:szCs w:val="21"/>
              </w:rPr>
              <w:t>。</w:t>
            </w:r>
            <w:r w:rsidRPr="00F2616A">
              <w:rPr>
                <w:rFonts w:asciiTheme="majorEastAsia" w:eastAsiaTheme="majorEastAsia" w:hAnsiTheme="majorEastAsia" w:cs="宋体"/>
                <w:spacing w:val="8"/>
                <w:kern w:val="0"/>
                <w:szCs w:val="21"/>
              </w:rPr>
              <w:t>现任爱沙尼亚政府内阁14名部长，其中9名毕业于该校</w:t>
            </w:r>
            <w:r w:rsidRPr="00574527">
              <w:rPr>
                <w:rFonts w:asciiTheme="majorEastAsia" w:eastAsiaTheme="majorEastAsia" w:hAnsiTheme="majorEastAsia" w:cs="宋体"/>
                <w:spacing w:val="8"/>
                <w:kern w:val="0"/>
                <w:szCs w:val="21"/>
              </w:rPr>
              <w:t>塔尔图大学不仅是爱沙尼亚的文化摇栏，同时在北欧也具有非凡的地位，该校高分子和临床医学被欧盟评为欧洲最佳研究院。。</w:t>
            </w:r>
          </w:p>
        </w:tc>
      </w:tr>
      <w:tr w:rsidR="004602E5" w:rsidRPr="00574527" w:rsidTr="00B62F59">
        <w:trPr>
          <w:jc w:val="center"/>
        </w:trPr>
        <w:tc>
          <w:tcPr>
            <w:tcW w:w="1231" w:type="dxa"/>
          </w:tcPr>
          <w:p w:rsidR="004602E5" w:rsidRPr="00574527" w:rsidRDefault="004602E5" w:rsidP="00B62F59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4602E5" w:rsidRPr="00574527" w:rsidRDefault="004602E5" w:rsidP="00B62F59">
            <w:pPr>
              <w:pStyle w:val="a5"/>
              <w:spacing w:line="360" w:lineRule="auto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项目介绍</w:t>
            </w:r>
          </w:p>
        </w:tc>
        <w:tc>
          <w:tcPr>
            <w:tcW w:w="7938" w:type="dxa"/>
          </w:tcPr>
          <w:p w:rsidR="004602E5" w:rsidRPr="00574527" w:rsidRDefault="004602E5" w:rsidP="00B62F59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   学校承认学生在外所学学分，返校后</w:t>
            </w:r>
            <w:r w:rsidRPr="0057452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由院系主任根据学生在该大学取得的课程学分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确定其顶替本校相应的课程学分。此为交换学生项目，不涉及学位。</w:t>
            </w:r>
            <w:r w:rsidRPr="0057452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北京科技大学将接收来我校的外方学生，并减免学费。</w:t>
            </w:r>
          </w:p>
        </w:tc>
      </w:tr>
      <w:tr w:rsidR="004602E5" w:rsidRPr="00574527" w:rsidTr="00B62F59">
        <w:trPr>
          <w:jc w:val="center"/>
        </w:trPr>
        <w:tc>
          <w:tcPr>
            <w:tcW w:w="1231" w:type="dxa"/>
          </w:tcPr>
          <w:p w:rsidR="004602E5" w:rsidRPr="00574527" w:rsidRDefault="004602E5" w:rsidP="00B62F59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选派类别</w:t>
            </w:r>
          </w:p>
        </w:tc>
        <w:tc>
          <w:tcPr>
            <w:tcW w:w="7938" w:type="dxa"/>
          </w:tcPr>
          <w:p w:rsidR="004602E5" w:rsidRPr="00574527" w:rsidRDefault="004602E5" w:rsidP="00B62F59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全日制在读本科生（定向、委培除外）</w:t>
            </w:r>
          </w:p>
        </w:tc>
      </w:tr>
      <w:tr w:rsidR="004602E5" w:rsidRPr="00574527" w:rsidTr="00B62F59">
        <w:trPr>
          <w:jc w:val="center"/>
        </w:trPr>
        <w:tc>
          <w:tcPr>
            <w:tcW w:w="1231" w:type="dxa"/>
          </w:tcPr>
          <w:p w:rsidR="004602E5" w:rsidRPr="00574527" w:rsidRDefault="004602E5" w:rsidP="00B62F59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4602E5" w:rsidRPr="00574527" w:rsidRDefault="004602E5" w:rsidP="00B62F59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4602E5" w:rsidRPr="00574527" w:rsidRDefault="004602E5" w:rsidP="00B62F59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4602E5" w:rsidRPr="00574527" w:rsidRDefault="004602E5" w:rsidP="00B62F59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申请条件</w:t>
            </w:r>
          </w:p>
        </w:tc>
        <w:tc>
          <w:tcPr>
            <w:tcW w:w="7938" w:type="dxa"/>
          </w:tcPr>
          <w:p w:rsidR="004602E5" w:rsidRPr="00574527" w:rsidRDefault="004602E5" w:rsidP="00B62F59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57452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 在读三年级本科生，主要课程平均成绩高于80分；</w:t>
            </w:r>
          </w:p>
          <w:p w:rsidR="004602E5" w:rsidRPr="00574527" w:rsidRDefault="004602E5" w:rsidP="00B62F59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57452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 托福成绩90分或者IELTS 6.5；</w:t>
            </w:r>
          </w:p>
          <w:p w:rsidR="004602E5" w:rsidRPr="00574527" w:rsidRDefault="004602E5" w:rsidP="00B62F59">
            <w:pPr>
              <w:widowControl/>
              <w:spacing w:line="360" w:lineRule="auto"/>
              <w:ind w:leftChars="-150" w:left="315" w:hangingChars="300" w:hanging="630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57452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 3. 家庭经济条件许可，有能力自行支付往返旅费、学习期间生活费、书本费、保险和医疗保险等费用；一经推荐，不可无故退出项目（不可抗力除外）。否则，视为自动放弃所有派出资格。拟申请的学生需慎重对待，认真规划。</w:t>
            </w:r>
          </w:p>
          <w:p w:rsidR="004602E5" w:rsidRPr="00574527" w:rsidRDefault="004602E5" w:rsidP="00B62F59">
            <w:pPr>
              <w:pStyle w:val="a5"/>
              <w:spacing w:line="36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57452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 身心健康，积极向上</w:t>
            </w:r>
          </w:p>
        </w:tc>
      </w:tr>
    </w:tbl>
    <w:p w:rsidR="004602E5" w:rsidRPr="004602E5" w:rsidRDefault="004602E5" w:rsidP="004602E5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sectPr w:rsidR="004602E5" w:rsidRPr="0046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10" w:rsidRDefault="008A6210" w:rsidP="004602E5">
      <w:r>
        <w:separator/>
      </w:r>
    </w:p>
  </w:endnote>
  <w:endnote w:type="continuationSeparator" w:id="0">
    <w:p w:rsidR="008A6210" w:rsidRDefault="008A6210" w:rsidP="0046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10" w:rsidRDefault="008A6210" w:rsidP="004602E5">
      <w:r>
        <w:separator/>
      </w:r>
    </w:p>
  </w:footnote>
  <w:footnote w:type="continuationSeparator" w:id="0">
    <w:p w:rsidR="008A6210" w:rsidRDefault="008A6210" w:rsidP="00460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30"/>
    <w:rsid w:val="001E1530"/>
    <w:rsid w:val="004602E5"/>
    <w:rsid w:val="008A4D10"/>
    <w:rsid w:val="008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02559-1198-40A7-9860-91B2C5D3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2E5"/>
    <w:rPr>
      <w:sz w:val="18"/>
      <w:szCs w:val="18"/>
    </w:rPr>
  </w:style>
  <w:style w:type="paragraph" w:styleId="a5">
    <w:name w:val="List Paragraph"/>
    <w:basedOn w:val="a"/>
    <w:uiPriority w:val="34"/>
    <w:qFormat/>
    <w:rsid w:val="004602E5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460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USTB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KangJunyan</dc:creator>
  <cp:keywords/>
  <dc:description/>
  <cp:lastModifiedBy>KangJunyan</cp:lastModifiedBy>
  <cp:revision>2</cp:revision>
  <dcterms:created xsi:type="dcterms:W3CDTF">2015-05-14T10:47:00Z</dcterms:created>
  <dcterms:modified xsi:type="dcterms:W3CDTF">2015-05-14T10:47:00Z</dcterms:modified>
</cp:coreProperties>
</file>